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035ABC" w:rsidRDefault="00F92268" w:rsidP="00850792">
      <w:pPr>
        <w:pStyle w:val="BodyText"/>
        <w:rPr>
          <w:sz w:val="6"/>
          <w:szCs w:val="6"/>
        </w:rPr>
      </w:pPr>
      <w:r w:rsidRPr="00035ABC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035ABC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035ABC" w:rsidRDefault="00F92268" w:rsidP="005A0DC9">
            <w:pPr>
              <w:pStyle w:val="RefTableData"/>
            </w:pPr>
            <w:r w:rsidRPr="00035ABC">
              <w:t>Reference number(s)</w:t>
            </w:r>
          </w:p>
        </w:tc>
      </w:tr>
      <w:tr w:rsidR="00F92268" w:rsidRPr="00035ABC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1899D81" w:rsidR="00F92268" w:rsidRPr="00035ABC" w:rsidRDefault="00497349" w:rsidP="005A0DC9">
            <w:pPr>
              <w:pStyle w:val="RefTableData"/>
            </w:pPr>
            <w:r w:rsidRPr="00035ABC">
              <w:t>3968-A</w:t>
            </w:r>
          </w:p>
        </w:tc>
      </w:tr>
    </w:tbl>
    <w:p w14:paraId="74FBA5B4" w14:textId="77777777" w:rsidR="00051356" w:rsidRPr="00035ABC" w:rsidRDefault="00051356" w:rsidP="00A672B3">
      <w:pPr>
        <w:pStyle w:val="BodyText"/>
        <w:rPr>
          <w:b/>
          <w:bCs/>
          <w:sz w:val="16"/>
          <w:szCs w:val="16"/>
        </w:rPr>
        <w:sectPr w:rsidR="00051356" w:rsidRPr="00035ABC" w:rsidSect="003D326E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8D05FC3" w:rsidR="004B15BB" w:rsidRPr="00035ABC" w:rsidRDefault="00AF4AED" w:rsidP="007E5C16">
      <w:pPr>
        <w:pStyle w:val="Heading1"/>
      </w:pPr>
      <w:r w:rsidRPr="00035ABC">
        <w:t>Specialty Guideline Management</w:t>
      </w:r>
      <w:r w:rsidR="008C54D9" w:rsidRPr="00035ABC">
        <w:br/>
      </w:r>
      <w:r w:rsidRPr="00035ABC">
        <w:t>Uplizna</w:t>
      </w:r>
    </w:p>
    <w:p w14:paraId="78861C92" w14:textId="1CF6A9C3" w:rsidR="00203468" w:rsidRPr="00035ABC" w:rsidRDefault="00C64534" w:rsidP="008E0F0D">
      <w:pPr>
        <w:pStyle w:val="Heading2"/>
      </w:pPr>
      <w:r w:rsidRPr="00035ABC">
        <w:t xml:space="preserve">Products Referenced by this </w:t>
      </w:r>
      <w:r w:rsidR="00501602" w:rsidRPr="00035ABC">
        <w:t>Document</w:t>
      </w:r>
    </w:p>
    <w:p w14:paraId="5455152B" w14:textId="4B2BFF71" w:rsidR="008E0F0D" w:rsidRPr="00035ABC" w:rsidRDefault="00D82D85" w:rsidP="008B73E8">
      <w:pPr>
        <w:pStyle w:val="BodyText"/>
      </w:pPr>
      <w:r w:rsidRPr="00035ABC">
        <w:t xml:space="preserve">Drugs that are listed in the </w:t>
      </w:r>
      <w:r w:rsidR="000315F1" w:rsidRPr="00035ABC">
        <w:t>following table</w:t>
      </w:r>
      <w:r w:rsidRPr="00035ABC">
        <w:t xml:space="preserve"> include both brand and generic and all dosage forms and strengths unless otherwise stated. </w:t>
      </w:r>
      <w:r w:rsidR="009A0227">
        <w:t>Over-the-counter (</w:t>
      </w:r>
      <w:r w:rsidRPr="00035ABC">
        <w:t>OTC</w:t>
      </w:r>
      <w:r w:rsidR="009A0227">
        <w:t>)</w:t>
      </w:r>
      <w:r w:rsidRPr="00035ABC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035ABC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035ABC" w:rsidRDefault="00252CE1" w:rsidP="00AA1E6A">
            <w:pPr>
              <w:pStyle w:val="TableHeader"/>
            </w:pPr>
            <w:bookmarkStart w:id="0" w:name="_Hlk159603270"/>
            <w:r w:rsidRPr="00035ABC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035ABC" w:rsidRDefault="00252CE1" w:rsidP="00AA1E6A">
            <w:pPr>
              <w:pStyle w:val="TableHeader"/>
            </w:pPr>
            <w:r w:rsidRPr="00035ABC">
              <w:t>Generic Name</w:t>
            </w:r>
          </w:p>
        </w:tc>
      </w:tr>
      <w:tr w:rsidR="00585FFF" w:rsidRPr="00035ABC" w14:paraId="2AD5C02D" w14:textId="77777777" w:rsidTr="000C5A6F">
        <w:trPr>
          <w:cantSplit/>
        </w:trPr>
        <w:tc>
          <w:tcPr>
            <w:tcW w:w="5265" w:type="dxa"/>
          </w:tcPr>
          <w:p w14:paraId="2D8FA8E3" w14:textId="5830D6D0" w:rsidR="00585FFF" w:rsidRPr="00035ABC" w:rsidRDefault="00AF4AED" w:rsidP="00E82ABA">
            <w:pPr>
              <w:pStyle w:val="TableDataUnpadded"/>
            </w:pPr>
            <w:r w:rsidRPr="00035ABC">
              <w:t>Uplizna</w:t>
            </w:r>
          </w:p>
        </w:tc>
        <w:tc>
          <w:tcPr>
            <w:tcW w:w="5595" w:type="dxa"/>
          </w:tcPr>
          <w:p w14:paraId="7E26A004" w14:textId="0C58691E" w:rsidR="00585FFF" w:rsidRPr="00035ABC" w:rsidRDefault="00AF4AED" w:rsidP="00E82ABA">
            <w:pPr>
              <w:pStyle w:val="TableDataUnpadded"/>
            </w:pPr>
            <w:r w:rsidRPr="00035ABC">
              <w:t>inebilizumab-cdon</w:t>
            </w:r>
          </w:p>
        </w:tc>
      </w:tr>
    </w:tbl>
    <w:bookmarkEnd w:id="0"/>
    <w:p w14:paraId="14CE6108" w14:textId="3DDB6339" w:rsidR="00FC1AAD" w:rsidRPr="00035ABC" w:rsidRDefault="00ED052F" w:rsidP="00AA2A94">
      <w:pPr>
        <w:pStyle w:val="Heading2"/>
        <w:tabs>
          <w:tab w:val="left" w:pos="9540"/>
        </w:tabs>
      </w:pPr>
      <w:r w:rsidRPr="00035ABC">
        <w:t>Indications</w:t>
      </w:r>
    </w:p>
    <w:p w14:paraId="6BD583F7" w14:textId="747BFA75" w:rsidR="00AF4AED" w:rsidRPr="00035ABC" w:rsidRDefault="00AF4AED" w:rsidP="00AF4AED">
      <w:pPr>
        <w:pStyle w:val="BodyText"/>
      </w:pPr>
      <w:r w:rsidRPr="00035ABC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EFFA5D3" w:rsidR="00ED052F" w:rsidRPr="00035ABC" w:rsidRDefault="00ED052F" w:rsidP="00ED052F">
      <w:pPr>
        <w:pStyle w:val="Heading3"/>
        <w:keepNext w:val="0"/>
      </w:pPr>
      <w:r w:rsidRPr="00035ABC">
        <w:t>FDA-approved Indications</w:t>
      </w:r>
      <w:r w:rsidR="00AF4AED" w:rsidRPr="00035ABC">
        <w:rPr>
          <w:vertAlign w:val="superscript"/>
        </w:rPr>
        <w:t>1</w:t>
      </w:r>
    </w:p>
    <w:p w14:paraId="1C26A9AD" w14:textId="77777777" w:rsidR="00125978" w:rsidRDefault="00AF4AED" w:rsidP="00AF4AED">
      <w:pPr>
        <w:pStyle w:val="BodyText"/>
      </w:pPr>
      <w:bookmarkStart w:id="1" w:name="_Hlk195274422"/>
      <w:r w:rsidRPr="00035ABC">
        <w:t>Uplizna is indicated for the treatment of</w:t>
      </w:r>
      <w:r w:rsidR="00125978">
        <w:t>:</w:t>
      </w:r>
    </w:p>
    <w:p w14:paraId="697D70FF" w14:textId="1DEE5253" w:rsidR="00AF4AED" w:rsidRPr="00125978" w:rsidRDefault="00125978" w:rsidP="00AF4AED">
      <w:pPr>
        <w:pStyle w:val="ListParagraph"/>
        <w:rPr>
          <w:rFonts w:eastAsia="Arial"/>
        </w:rPr>
      </w:pPr>
      <w:r>
        <w:t>N</w:t>
      </w:r>
      <w:r w:rsidR="00AF4AED" w:rsidRPr="00035ABC">
        <w:t>euromyelitis optica spectrum disorder (NMOSD) in adult patients who are anti-aquaporin-4 (AQP4) antibody positive.</w:t>
      </w:r>
    </w:p>
    <w:p w14:paraId="52FDDEAC" w14:textId="5A8CF5F5" w:rsidR="00125978" w:rsidRPr="00125978" w:rsidRDefault="00125978" w:rsidP="00AF4AED">
      <w:pPr>
        <w:pStyle w:val="ListParagraph"/>
        <w:rPr>
          <w:rFonts w:eastAsia="Arial"/>
        </w:rPr>
      </w:pPr>
      <w:r w:rsidRPr="00125978">
        <w:rPr>
          <w:rFonts w:eastAsia="Arial"/>
        </w:rPr>
        <w:t xml:space="preserve">Immunoglobulin G4-related disease (IgG4-RD) in adult patients. </w:t>
      </w:r>
    </w:p>
    <w:bookmarkEnd w:id="1"/>
    <w:p w14:paraId="71D54B09" w14:textId="71094AD0" w:rsidR="005B4875" w:rsidRPr="00035ABC" w:rsidRDefault="005B4875" w:rsidP="00AF4AED">
      <w:pPr>
        <w:pStyle w:val="BodyText"/>
      </w:pPr>
      <w:r w:rsidRPr="005B4875">
        <w:t>All other indications are considered experimental/investigational and not medically necessary.</w:t>
      </w:r>
    </w:p>
    <w:p w14:paraId="36381B6D" w14:textId="247A6331" w:rsidR="000D2496" w:rsidRPr="00035ABC" w:rsidRDefault="000D2496" w:rsidP="000D2496">
      <w:pPr>
        <w:pStyle w:val="Heading2"/>
      </w:pPr>
      <w:r w:rsidRPr="00035ABC">
        <w:t>Documentation</w:t>
      </w:r>
    </w:p>
    <w:p w14:paraId="51375B9C" w14:textId="77777777" w:rsidR="00AF4AED" w:rsidRPr="00035ABC" w:rsidRDefault="00AF4AED" w:rsidP="00AF4AED">
      <w:pPr>
        <w:pStyle w:val="BodyText"/>
      </w:pPr>
      <w:r w:rsidRPr="00035ABC">
        <w:t>Submission of the following information is necessary to initiate the prior authorization review:</w:t>
      </w:r>
    </w:p>
    <w:p w14:paraId="1BA25DA4" w14:textId="6FF73938" w:rsidR="00F31424" w:rsidRDefault="00F31424" w:rsidP="00AF4AED">
      <w:pPr>
        <w:pStyle w:val="ListParagraph"/>
        <w:numPr>
          <w:ilvl w:val="0"/>
          <w:numId w:val="28"/>
        </w:numPr>
        <w:contextualSpacing w:val="0"/>
      </w:pPr>
      <w:bookmarkStart w:id="2" w:name="_Hlk195274455"/>
      <w:r>
        <w:t>N</w:t>
      </w:r>
      <w:r w:rsidRPr="00035ABC">
        <w:t>euromyelitis optica spectrum disorder (NMOSD)</w:t>
      </w:r>
    </w:p>
    <w:p w14:paraId="53C24790" w14:textId="4CE22B42" w:rsidR="00AF4AED" w:rsidRPr="00035ABC" w:rsidRDefault="00AF4AED" w:rsidP="00A135B1">
      <w:pPr>
        <w:pStyle w:val="ListParagraph"/>
        <w:numPr>
          <w:ilvl w:val="1"/>
          <w:numId w:val="28"/>
        </w:numPr>
        <w:contextualSpacing w:val="0"/>
      </w:pPr>
      <w:r w:rsidRPr="00035ABC">
        <w:lastRenderedPageBreak/>
        <w:t>For initial requests: Immunoassay used to confirm anti-aquaporin-4 (AQP4) antibody is present.</w:t>
      </w:r>
    </w:p>
    <w:p w14:paraId="5438F5EE" w14:textId="67D03D90" w:rsidR="00AF4AED" w:rsidRDefault="00AF4AED" w:rsidP="00F31424">
      <w:pPr>
        <w:pStyle w:val="ListParagraph"/>
        <w:numPr>
          <w:ilvl w:val="1"/>
          <w:numId w:val="28"/>
        </w:numPr>
        <w:contextualSpacing w:val="0"/>
      </w:pPr>
      <w:r w:rsidRPr="00035ABC">
        <w:t>For continuation requests: Chart notes or medical record documentation supporting positive clinical response.</w:t>
      </w:r>
    </w:p>
    <w:p w14:paraId="22440261" w14:textId="3C742138" w:rsidR="00F31424" w:rsidRPr="00A135B1" w:rsidRDefault="00F31424" w:rsidP="00F31424">
      <w:pPr>
        <w:pStyle w:val="ListParagraph"/>
        <w:numPr>
          <w:ilvl w:val="0"/>
          <w:numId w:val="28"/>
        </w:numPr>
        <w:contextualSpacing w:val="0"/>
      </w:pPr>
      <w:r w:rsidRPr="00125978">
        <w:rPr>
          <w:rFonts w:eastAsia="Arial"/>
        </w:rPr>
        <w:t>Immunoglobulin G4-related disease (IgG4-RD)</w:t>
      </w:r>
    </w:p>
    <w:p w14:paraId="3DAE4D07" w14:textId="311E2BAF" w:rsidR="00F31424" w:rsidRPr="00A135B1" w:rsidRDefault="00F31424" w:rsidP="00F31424">
      <w:pPr>
        <w:pStyle w:val="ListParagraph"/>
        <w:numPr>
          <w:ilvl w:val="1"/>
          <w:numId w:val="28"/>
        </w:numPr>
        <w:contextualSpacing w:val="0"/>
      </w:pPr>
      <w:r>
        <w:rPr>
          <w:rFonts w:eastAsia="Arial"/>
        </w:rPr>
        <w:t>For initial requests, chart notes or medical records documenting:</w:t>
      </w:r>
    </w:p>
    <w:p w14:paraId="34A0A452" w14:textId="1A221125" w:rsidR="001037D5" w:rsidRDefault="001037D5" w:rsidP="00F31424">
      <w:pPr>
        <w:pStyle w:val="ListParagraph"/>
        <w:numPr>
          <w:ilvl w:val="2"/>
          <w:numId w:val="28"/>
        </w:numPr>
        <w:contextualSpacing w:val="0"/>
      </w:pPr>
      <w:r>
        <w:t>Member has a clinical diagnosis of IgG4-RD.</w:t>
      </w:r>
    </w:p>
    <w:p w14:paraId="16724E19" w14:textId="0B83405B" w:rsidR="00F31424" w:rsidRDefault="00F31424" w:rsidP="00F31424">
      <w:pPr>
        <w:pStyle w:val="ListParagraph"/>
        <w:numPr>
          <w:ilvl w:val="2"/>
          <w:numId w:val="28"/>
        </w:numPr>
        <w:contextualSpacing w:val="0"/>
      </w:pPr>
      <w:r>
        <w:t>Member is experiencing an IgG4-RD flare requiring glucocorticoid treatment</w:t>
      </w:r>
      <w:r w:rsidR="00072A73">
        <w:t xml:space="preserve"> (within the past 4 weeks)</w:t>
      </w:r>
      <w:r>
        <w:t>.</w:t>
      </w:r>
    </w:p>
    <w:p w14:paraId="662E4EC7" w14:textId="2A7CA99A" w:rsidR="00F31424" w:rsidRDefault="00F31424" w:rsidP="00F31424">
      <w:pPr>
        <w:pStyle w:val="ListParagraph"/>
        <w:numPr>
          <w:ilvl w:val="2"/>
          <w:numId w:val="28"/>
        </w:numPr>
        <w:contextualSpacing w:val="0"/>
      </w:pPr>
      <w:r>
        <w:t xml:space="preserve">IgG4-RD is affecting at least </w:t>
      </w:r>
      <w:r w:rsidR="00830AE3">
        <w:t>1</w:t>
      </w:r>
      <w:r>
        <w:t xml:space="preserve"> organ/site.</w:t>
      </w:r>
    </w:p>
    <w:p w14:paraId="34729FE5" w14:textId="4E4E3CBB" w:rsidR="000D35FA" w:rsidRPr="00035ABC" w:rsidRDefault="000D35FA" w:rsidP="00A135B1">
      <w:pPr>
        <w:pStyle w:val="ListParagraph"/>
        <w:numPr>
          <w:ilvl w:val="1"/>
          <w:numId w:val="28"/>
        </w:numPr>
        <w:contextualSpacing w:val="0"/>
      </w:pPr>
      <w:r>
        <w:t>For continuation requests: Chart notes or medical record documentation supporting positive clinical response.</w:t>
      </w:r>
    </w:p>
    <w:bookmarkEnd w:id="2"/>
    <w:p w14:paraId="50A38FBA" w14:textId="063C0E58" w:rsidR="00FE0C63" w:rsidRPr="00035ABC" w:rsidRDefault="00685107" w:rsidP="00497349">
      <w:pPr>
        <w:pStyle w:val="Heading2"/>
        <w:tabs>
          <w:tab w:val="left" w:pos="9987"/>
        </w:tabs>
      </w:pPr>
      <w:r w:rsidRPr="00035ABC">
        <w:t>Coverage Criteria</w:t>
      </w:r>
    </w:p>
    <w:p w14:paraId="2CBF88EB" w14:textId="7D4B11E4" w:rsidR="00AF4AED" w:rsidRPr="00035ABC" w:rsidRDefault="00AF4AED" w:rsidP="00AF4AED">
      <w:pPr>
        <w:pStyle w:val="Heading3"/>
      </w:pPr>
      <w:bookmarkStart w:id="3" w:name="_Hlk195273636"/>
      <w:r w:rsidRPr="00035ABC">
        <w:t xml:space="preserve">Neuromyelitis </w:t>
      </w:r>
      <w:r w:rsidR="000D71F7">
        <w:t>O</w:t>
      </w:r>
      <w:r w:rsidRPr="00035ABC">
        <w:t xml:space="preserve">ptica </w:t>
      </w:r>
      <w:r w:rsidR="000D71F7">
        <w:t>S</w:t>
      </w:r>
      <w:r w:rsidRPr="00035ABC">
        <w:t xml:space="preserve">pectrum </w:t>
      </w:r>
      <w:r w:rsidR="000D71F7">
        <w:t>D</w:t>
      </w:r>
      <w:r w:rsidRPr="00035ABC">
        <w:t>isorder (NMOSD)</w:t>
      </w:r>
      <w:bookmarkEnd w:id="3"/>
      <w:r w:rsidRPr="00035ABC">
        <w:rPr>
          <w:vertAlign w:val="superscript"/>
        </w:rPr>
        <w:t>1,2</w:t>
      </w:r>
    </w:p>
    <w:p w14:paraId="4AF46DC0" w14:textId="77777777" w:rsidR="00AF4AED" w:rsidRPr="00035ABC" w:rsidRDefault="00AF4AED" w:rsidP="00AF4AED">
      <w:pPr>
        <w:pStyle w:val="BodyText"/>
      </w:pPr>
      <w:r w:rsidRPr="00035ABC">
        <w:t>Authorization of 12 months may be granted for treatment of neuromyelitis optica spectrum disorder (NMOSD) when all of the following criteria are met:</w:t>
      </w:r>
    </w:p>
    <w:p w14:paraId="1E232915" w14:textId="17AB90FF" w:rsidR="00AF4AED" w:rsidRPr="00035ABC" w:rsidRDefault="00AF4AED" w:rsidP="00AF4AED">
      <w:pPr>
        <w:pStyle w:val="ListParagraph"/>
        <w:numPr>
          <w:ilvl w:val="0"/>
          <w:numId w:val="30"/>
        </w:numPr>
        <w:contextualSpacing w:val="0"/>
      </w:pPr>
      <w:r w:rsidRPr="00035ABC">
        <w:t>Anti-aquaporin-4 (AQP4) antibody positive</w:t>
      </w:r>
      <w:r w:rsidR="000D71F7">
        <w:t>.</w:t>
      </w:r>
    </w:p>
    <w:p w14:paraId="45EBC54C" w14:textId="7BBBB1EF" w:rsidR="00AF4AED" w:rsidRPr="00035ABC" w:rsidRDefault="00AF4AED" w:rsidP="00AF4AED">
      <w:pPr>
        <w:pStyle w:val="ListParagraph"/>
        <w:numPr>
          <w:ilvl w:val="0"/>
          <w:numId w:val="30"/>
        </w:numPr>
        <w:contextualSpacing w:val="0"/>
      </w:pPr>
      <w:r w:rsidRPr="00035ABC">
        <w:t>Member exhibits one of the following core clinical characteristics of NMOSD:</w:t>
      </w:r>
    </w:p>
    <w:p w14:paraId="00FCD712" w14:textId="40270014" w:rsidR="00AF4AED" w:rsidRPr="00035ABC" w:rsidRDefault="00AF4AED" w:rsidP="00AF4AED">
      <w:pPr>
        <w:pStyle w:val="ListParagraph"/>
        <w:numPr>
          <w:ilvl w:val="1"/>
          <w:numId w:val="32"/>
        </w:numPr>
        <w:contextualSpacing w:val="0"/>
      </w:pPr>
      <w:r w:rsidRPr="00035ABC">
        <w:t>Optic neuritis</w:t>
      </w:r>
    </w:p>
    <w:p w14:paraId="7ED37493" w14:textId="6291B74D" w:rsidR="00AF4AED" w:rsidRPr="00035ABC" w:rsidRDefault="00AF4AED" w:rsidP="00AF4AED">
      <w:pPr>
        <w:pStyle w:val="ListParagraph"/>
        <w:numPr>
          <w:ilvl w:val="1"/>
          <w:numId w:val="32"/>
        </w:numPr>
        <w:contextualSpacing w:val="0"/>
      </w:pPr>
      <w:r w:rsidRPr="00035ABC">
        <w:t>Acute myelitis</w:t>
      </w:r>
    </w:p>
    <w:p w14:paraId="112C1D99" w14:textId="5598EE64" w:rsidR="00AF4AED" w:rsidRPr="00035ABC" w:rsidRDefault="00AF4AED" w:rsidP="00AF4AED">
      <w:pPr>
        <w:pStyle w:val="ListParagraph"/>
        <w:numPr>
          <w:ilvl w:val="1"/>
          <w:numId w:val="32"/>
        </w:numPr>
        <w:contextualSpacing w:val="0"/>
      </w:pPr>
      <w:r w:rsidRPr="00035ABC">
        <w:t>Area postrema syndrome (episode of otherwise unexplained hiccups or nausea and vomiting)</w:t>
      </w:r>
    </w:p>
    <w:p w14:paraId="64782EB4" w14:textId="79874640" w:rsidR="00AF4AED" w:rsidRPr="00035ABC" w:rsidRDefault="00AF4AED" w:rsidP="00AF4AED">
      <w:pPr>
        <w:pStyle w:val="ListParagraph"/>
        <w:numPr>
          <w:ilvl w:val="1"/>
          <w:numId w:val="32"/>
        </w:numPr>
        <w:contextualSpacing w:val="0"/>
      </w:pPr>
      <w:r w:rsidRPr="00035ABC">
        <w:t>Acute brainstem syndrome</w:t>
      </w:r>
    </w:p>
    <w:p w14:paraId="71A48B1A" w14:textId="7E3EF33F" w:rsidR="00AF4AED" w:rsidRPr="00035ABC" w:rsidRDefault="00AF4AED" w:rsidP="00AF4AED">
      <w:pPr>
        <w:pStyle w:val="ListParagraph"/>
        <w:numPr>
          <w:ilvl w:val="1"/>
          <w:numId w:val="32"/>
        </w:numPr>
        <w:contextualSpacing w:val="0"/>
      </w:pPr>
      <w:r w:rsidRPr="00035ABC">
        <w:t>Symptomatic narcolepsy or acute diencephalic clinical syndrome with NMOSD-typical diencephalic magnetic resonance imaging (MRI) lesions</w:t>
      </w:r>
    </w:p>
    <w:p w14:paraId="50794ADF" w14:textId="44436A04" w:rsidR="00AF4AED" w:rsidRPr="00035ABC" w:rsidRDefault="00AF4AED" w:rsidP="00AF4AED">
      <w:pPr>
        <w:pStyle w:val="ListParagraph"/>
        <w:numPr>
          <w:ilvl w:val="1"/>
          <w:numId w:val="32"/>
        </w:numPr>
        <w:contextualSpacing w:val="0"/>
      </w:pPr>
      <w:r w:rsidRPr="00035ABC">
        <w:t>Symptomatic cerebral syndrome with NMOSD-typical brain lesions</w:t>
      </w:r>
    </w:p>
    <w:p w14:paraId="406F826F" w14:textId="65E13AAE" w:rsidR="00125978" w:rsidRDefault="00AF4AED" w:rsidP="00A135B1">
      <w:pPr>
        <w:pStyle w:val="ListParagraph"/>
        <w:numPr>
          <w:ilvl w:val="0"/>
          <w:numId w:val="30"/>
        </w:numPr>
        <w:contextualSpacing w:val="0"/>
      </w:pPr>
      <w:r w:rsidRPr="00035ABC">
        <w:t>The member will not receive the requested medication concomitantly with other biologics for the treatment of NMOSD.</w:t>
      </w:r>
    </w:p>
    <w:p w14:paraId="4DE75E1A" w14:textId="0AA73109" w:rsidR="00125978" w:rsidRPr="00035ABC" w:rsidRDefault="00125978" w:rsidP="00125978">
      <w:pPr>
        <w:pStyle w:val="Heading3"/>
      </w:pPr>
      <w:bookmarkStart w:id="4" w:name="_Hlk195274555"/>
      <w:r w:rsidRPr="00125978">
        <w:rPr>
          <w:rFonts w:eastAsia="Arial"/>
        </w:rPr>
        <w:t>Immunoglobulin G4-</w:t>
      </w:r>
      <w:r>
        <w:rPr>
          <w:rFonts w:eastAsia="Arial"/>
        </w:rPr>
        <w:t>r</w:t>
      </w:r>
      <w:r w:rsidRPr="00125978">
        <w:rPr>
          <w:rFonts w:eastAsia="Arial"/>
        </w:rPr>
        <w:t xml:space="preserve">elated </w:t>
      </w:r>
      <w:r>
        <w:rPr>
          <w:rFonts w:eastAsia="Arial"/>
        </w:rPr>
        <w:t>D</w:t>
      </w:r>
      <w:r w:rsidRPr="00125978">
        <w:rPr>
          <w:rFonts w:eastAsia="Arial"/>
        </w:rPr>
        <w:t>isease (IgG4-RD)</w:t>
      </w:r>
      <w:r w:rsidRPr="00035ABC">
        <w:rPr>
          <w:vertAlign w:val="superscript"/>
        </w:rPr>
        <w:t>1</w:t>
      </w:r>
      <w:r w:rsidR="009D6F29">
        <w:rPr>
          <w:vertAlign w:val="superscript"/>
        </w:rPr>
        <w:t>,3</w:t>
      </w:r>
      <w:r w:rsidR="001037D5">
        <w:rPr>
          <w:vertAlign w:val="superscript"/>
        </w:rPr>
        <w:t>-</w:t>
      </w:r>
      <w:r w:rsidR="00861954">
        <w:rPr>
          <w:vertAlign w:val="superscript"/>
        </w:rPr>
        <w:t>5</w:t>
      </w:r>
    </w:p>
    <w:p w14:paraId="4011DAF2" w14:textId="45489A81" w:rsidR="00125978" w:rsidRPr="00035ABC" w:rsidRDefault="00125978" w:rsidP="00125978">
      <w:pPr>
        <w:pStyle w:val="BodyText"/>
      </w:pPr>
      <w:r w:rsidRPr="00035ABC">
        <w:t>Authorization of 12 months may be granted for treatment of</w:t>
      </w:r>
      <w:r>
        <w:t xml:space="preserve"> </w:t>
      </w:r>
      <w:r>
        <w:rPr>
          <w:rFonts w:eastAsia="Arial"/>
        </w:rPr>
        <w:t>i</w:t>
      </w:r>
      <w:r w:rsidRPr="00125978">
        <w:rPr>
          <w:rFonts w:eastAsia="Arial"/>
        </w:rPr>
        <w:t xml:space="preserve">mmunoglobulin G4-related disease (IgG4-RD) </w:t>
      </w:r>
      <w:r w:rsidRPr="00035ABC">
        <w:t>when all of the following criteria are met:</w:t>
      </w:r>
    </w:p>
    <w:p w14:paraId="42ADD0CB" w14:textId="6B1247E1" w:rsidR="007D5B16" w:rsidRDefault="007D5B16" w:rsidP="007D5B16">
      <w:pPr>
        <w:numPr>
          <w:ilvl w:val="0"/>
          <w:numId w:val="30"/>
        </w:numPr>
        <w:rPr>
          <w:rFonts w:ascii="Calibri" w:hAnsi="Calibri"/>
        </w:rPr>
      </w:pPr>
      <w:r>
        <w:t>Member has a clinical diagnosis of IgG4-RD confirmed by either of the following (please see Appendix A for evaluations and characteristic organs to confirm diagnosis):</w:t>
      </w:r>
    </w:p>
    <w:p w14:paraId="212FC328" w14:textId="77777777" w:rsidR="007D5B16" w:rsidRDefault="007D5B16" w:rsidP="007D5B16">
      <w:pPr>
        <w:numPr>
          <w:ilvl w:val="1"/>
          <w:numId w:val="30"/>
        </w:numPr>
      </w:pPr>
      <w:r>
        <w:t>Clinical or radiologic involvement of a characteristic organ.</w:t>
      </w:r>
    </w:p>
    <w:p w14:paraId="405E8CFA" w14:textId="77777777" w:rsidR="007D5B16" w:rsidRDefault="007D5B16" w:rsidP="007D5B16">
      <w:pPr>
        <w:numPr>
          <w:ilvl w:val="1"/>
          <w:numId w:val="30"/>
        </w:numPr>
      </w:pPr>
      <w:r>
        <w:t>Pathologic evidence from a characteristic organ.</w:t>
      </w:r>
    </w:p>
    <w:p w14:paraId="4EE38ACC" w14:textId="0A29E6C7" w:rsidR="00A532A5" w:rsidRDefault="00A532A5" w:rsidP="00125978">
      <w:pPr>
        <w:pStyle w:val="ListParagraph"/>
        <w:numPr>
          <w:ilvl w:val="0"/>
          <w:numId w:val="30"/>
        </w:numPr>
        <w:contextualSpacing w:val="0"/>
      </w:pPr>
      <w:r>
        <w:t>Alternative causes of member’s clinical signs and symptoms have been evaluated and ruled out (please see Appendix B for common mimickers of IgG4-RD).</w:t>
      </w:r>
    </w:p>
    <w:p w14:paraId="5C9130E1" w14:textId="260F862F" w:rsidR="0078602F" w:rsidRDefault="00E44539" w:rsidP="00A135B1">
      <w:pPr>
        <w:pStyle w:val="ListParagraph"/>
        <w:numPr>
          <w:ilvl w:val="0"/>
          <w:numId w:val="30"/>
        </w:numPr>
        <w:contextualSpacing w:val="0"/>
      </w:pPr>
      <w:r>
        <w:t>Member is e</w:t>
      </w:r>
      <w:r w:rsidRPr="00E44539">
        <w:t>xperiencing an IgG4-RD flare that requires initiation or continuation of glucocorticoid</w:t>
      </w:r>
      <w:r w:rsidR="001037D5">
        <w:t xml:space="preserve"> treatment</w:t>
      </w:r>
      <w:r w:rsidR="00502FB2">
        <w:t xml:space="preserve"> (within the past 4 weeks)</w:t>
      </w:r>
      <w:r w:rsidR="00E474A6">
        <w:t>.</w:t>
      </w:r>
    </w:p>
    <w:p w14:paraId="0E6875E0" w14:textId="511C64C5" w:rsidR="00125978" w:rsidRPr="00035ABC" w:rsidRDefault="002A1A53" w:rsidP="00E474A6">
      <w:pPr>
        <w:pStyle w:val="ListParagraph"/>
        <w:numPr>
          <w:ilvl w:val="0"/>
          <w:numId w:val="30"/>
        </w:numPr>
        <w:contextualSpacing w:val="0"/>
      </w:pPr>
      <w:r>
        <w:t xml:space="preserve">Member has a history of </w:t>
      </w:r>
      <w:r w:rsidR="00E44539">
        <w:t>I</w:t>
      </w:r>
      <w:r w:rsidR="00E44539" w:rsidRPr="00E44539">
        <w:t xml:space="preserve">gG4-RD affecting at least </w:t>
      </w:r>
      <w:r w:rsidR="00A532A5">
        <w:t>1</w:t>
      </w:r>
      <w:r w:rsidR="00E44539" w:rsidRPr="00E44539">
        <w:t xml:space="preserve"> organ/site at any time</w:t>
      </w:r>
      <w:r>
        <w:t xml:space="preserve"> </w:t>
      </w:r>
      <w:r w:rsidR="00E44539" w:rsidRPr="00E44539">
        <w:t>in the course of IgG4-RD</w:t>
      </w:r>
      <w:r w:rsidR="00E44539">
        <w:t>.</w:t>
      </w:r>
      <w:bookmarkEnd w:id="4"/>
    </w:p>
    <w:p w14:paraId="3A643EC3" w14:textId="48FEFAA5" w:rsidR="00A501AC" w:rsidRPr="00035ABC" w:rsidRDefault="00A501AC" w:rsidP="00A501AC">
      <w:pPr>
        <w:pStyle w:val="Heading2"/>
      </w:pPr>
      <w:r w:rsidRPr="00035ABC">
        <w:t>Continuation of Therapy</w:t>
      </w:r>
    </w:p>
    <w:p w14:paraId="702F7E81" w14:textId="43BA6ED1" w:rsidR="009D6F29" w:rsidRPr="00035ABC" w:rsidRDefault="009D6F29" w:rsidP="009D6F29">
      <w:pPr>
        <w:pStyle w:val="Heading3"/>
      </w:pPr>
      <w:bookmarkStart w:id="5" w:name="_Hlk195274604"/>
      <w:r w:rsidRPr="00035ABC">
        <w:t xml:space="preserve">Neuromyelitis </w:t>
      </w:r>
      <w:r>
        <w:t>O</w:t>
      </w:r>
      <w:r w:rsidRPr="00035ABC">
        <w:t xml:space="preserve">ptica </w:t>
      </w:r>
      <w:r>
        <w:t>S</w:t>
      </w:r>
      <w:r w:rsidRPr="00035ABC">
        <w:t xml:space="preserve">pectrum </w:t>
      </w:r>
      <w:r>
        <w:t>D</w:t>
      </w:r>
      <w:r w:rsidRPr="00035ABC">
        <w:t>isorder (NMOSD)</w:t>
      </w:r>
    </w:p>
    <w:bookmarkEnd w:id="5"/>
    <w:p w14:paraId="6FFF826E" w14:textId="1A879A9E" w:rsidR="00AF4AED" w:rsidRPr="00035ABC" w:rsidRDefault="00AF4AED" w:rsidP="00AF4AED">
      <w:pPr>
        <w:pStyle w:val="BodyText"/>
      </w:pPr>
      <w:r w:rsidRPr="00035ABC">
        <w:t>Authorization of 12 months may be granted for continued treatment in members requesting reauthorization when all of the following criteria are met:</w:t>
      </w:r>
    </w:p>
    <w:p w14:paraId="383B9A11" w14:textId="7D58766C" w:rsidR="00AF4AED" w:rsidRPr="00035ABC" w:rsidRDefault="00AF4AED" w:rsidP="00AF4AED">
      <w:pPr>
        <w:pStyle w:val="ListParagraph"/>
        <w:numPr>
          <w:ilvl w:val="0"/>
          <w:numId w:val="33"/>
        </w:numPr>
        <w:contextualSpacing w:val="0"/>
      </w:pPr>
      <w:r w:rsidRPr="00035ABC">
        <w:t>There is no evidence of unacceptable toxicity or disease progression while on the current regimen.</w:t>
      </w:r>
    </w:p>
    <w:p w14:paraId="61924B6D" w14:textId="5B469278" w:rsidR="00AF4AED" w:rsidRPr="00035ABC" w:rsidRDefault="00AF4AED" w:rsidP="00AF4AED">
      <w:pPr>
        <w:pStyle w:val="ListParagraph"/>
        <w:numPr>
          <w:ilvl w:val="0"/>
          <w:numId w:val="33"/>
        </w:numPr>
        <w:contextualSpacing w:val="0"/>
      </w:pPr>
      <w:r w:rsidRPr="00035ABC">
        <w:t>The member demonstrates a positive response to therapy (e.g., reduction in number of relapses).</w:t>
      </w:r>
    </w:p>
    <w:p w14:paraId="70C5FB9E" w14:textId="7561E361" w:rsidR="009D6F29" w:rsidRDefault="00AF4AED" w:rsidP="00A135B1">
      <w:pPr>
        <w:pStyle w:val="ListParagraph"/>
        <w:numPr>
          <w:ilvl w:val="0"/>
          <w:numId w:val="33"/>
        </w:numPr>
        <w:contextualSpacing w:val="0"/>
      </w:pPr>
      <w:r w:rsidRPr="00035ABC">
        <w:t>The member will not receive the requested medication concomitantly with other biologics for the treatment of NMOSD.</w:t>
      </w:r>
    </w:p>
    <w:p w14:paraId="29A1DD7B" w14:textId="625F0290" w:rsidR="009D6F29" w:rsidRPr="00035ABC" w:rsidRDefault="009D6F29" w:rsidP="009D6F29">
      <w:pPr>
        <w:pStyle w:val="Heading3"/>
      </w:pPr>
      <w:bookmarkStart w:id="6" w:name="_Hlk195274632"/>
      <w:r w:rsidRPr="00125978">
        <w:rPr>
          <w:rFonts w:eastAsia="Arial"/>
        </w:rPr>
        <w:t>Immunoglobulin G4-</w:t>
      </w:r>
      <w:r>
        <w:rPr>
          <w:rFonts w:eastAsia="Arial"/>
        </w:rPr>
        <w:t>r</w:t>
      </w:r>
      <w:r w:rsidRPr="00125978">
        <w:rPr>
          <w:rFonts w:eastAsia="Arial"/>
        </w:rPr>
        <w:t xml:space="preserve">elated </w:t>
      </w:r>
      <w:r>
        <w:rPr>
          <w:rFonts w:eastAsia="Arial"/>
        </w:rPr>
        <w:t>D</w:t>
      </w:r>
      <w:r w:rsidRPr="00125978">
        <w:rPr>
          <w:rFonts w:eastAsia="Arial"/>
        </w:rPr>
        <w:t>isease (IgG4-RD)</w:t>
      </w:r>
    </w:p>
    <w:bookmarkEnd w:id="6"/>
    <w:p w14:paraId="41BA91D3" w14:textId="77777777" w:rsidR="009D6F29" w:rsidRPr="00035ABC" w:rsidRDefault="009D6F29" w:rsidP="009D6F29">
      <w:pPr>
        <w:pStyle w:val="BodyText"/>
      </w:pPr>
      <w:r w:rsidRPr="00035ABC">
        <w:t>Authorization of 12 months may be granted for continued treatment in members requesting reauthorization when all of the following criteria are met:</w:t>
      </w:r>
    </w:p>
    <w:p w14:paraId="2D7912D6" w14:textId="77777777" w:rsidR="009D6F29" w:rsidRPr="00DA20BD" w:rsidRDefault="009D6F29" w:rsidP="00DA20BD">
      <w:pPr>
        <w:pStyle w:val="ListParagraph"/>
      </w:pPr>
      <w:r w:rsidRPr="00DA20BD">
        <w:t>There is no evidence of unacceptable toxicity or disease progression while on the current regimen.</w:t>
      </w:r>
    </w:p>
    <w:p w14:paraId="18D464A6" w14:textId="755B89F5" w:rsidR="009D6F29" w:rsidRPr="00DA20BD" w:rsidRDefault="009D6F29" w:rsidP="00DA20BD">
      <w:pPr>
        <w:pStyle w:val="ListParagraph"/>
      </w:pPr>
      <w:bookmarkStart w:id="7" w:name="_Hlk195274753"/>
      <w:r w:rsidRPr="00DA20BD">
        <w:t>The member demonstrates a positive response to therapy (e.g., reduction in IgG4-RD flares).</w:t>
      </w:r>
    </w:p>
    <w:bookmarkEnd w:id="7"/>
    <w:p w14:paraId="57975C23" w14:textId="3CA4071E" w:rsidR="005A2994" w:rsidRDefault="00757850" w:rsidP="00757850">
      <w:pPr>
        <w:pStyle w:val="Heading2"/>
        <w:keepLines/>
      </w:pPr>
      <w:r w:rsidRPr="00736542">
        <w:t>Appendices</w:t>
      </w:r>
    </w:p>
    <w:p w14:paraId="1A40697F" w14:textId="02E11446" w:rsidR="005A2994" w:rsidRDefault="00757850" w:rsidP="005A2994">
      <w:pPr>
        <w:pStyle w:val="BodyText"/>
        <w:rPr>
          <w:sz w:val="32"/>
          <w:szCs w:val="32"/>
          <w:vertAlign w:val="superscript"/>
        </w:rPr>
      </w:pPr>
      <w:r w:rsidRPr="00C83EB4">
        <w:rPr>
          <w:rStyle w:val="Heading3Char"/>
        </w:rPr>
        <w:t xml:space="preserve">Appendix A: </w:t>
      </w:r>
      <w:r w:rsidR="003346DC" w:rsidRPr="00C83EB4">
        <w:rPr>
          <w:rStyle w:val="Heading3Char"/>
        </w:rPr>
        <w:t>Adapted from the 2020 Revised Comprehensive Diagnostic Criteria for IgG4-RD and the 2019 ACR/EULAR Classification Criteria for IgG4-RD</w:t>
      </w:r>
      <w:r w:rsidR="003346DC">
        <w:rPr>
          <w:sz w:val="32"/>
          <w:szCs w:val="32"/>
          <w:vertAlign w:val="superscript"/>
        </w:rPr>
        <w:t>4,5</w:t>
      </w:r>
    </w:p>
    <w:p w14:paraId="6012045A" w14:textId="1CE56A4E" w:rsidR="003124E1" w:rsidRPr="00035ABC" w:rsidRDefault="003124E1" w:rsidP="003124E1">
      <w:pPr>
        <w:pStyle w:val="ListParagraph"/>
        <w:numPr>
          <w:ilvl w:val="0"/>
          <w:numId w:val="30"/>
        </w:numPr>
        <w:contextualSpacing w:val="0"/>
      </w:pPr>
      <w:r>
        <w:t>Clinical or radiological features</w:t>
      </w:r>
      <w:r w:rsidRPr="00035ABC">
        <w:t>:</w:t>
      </w:r>
    </w:p>
    <w:p w14:paraId="2E3DECA1" w14:textId="39B941F9" w:rsidR="003124E1" w:rsidRDefault="003124E1" w:rsidP="003124E1">
      <w:pPr>
        <w:pStyle w:val="ListParagraph"/>
        <w:numPr>
          <w:ilvl w:val="1"/>
          <w:numId w:val="32"/>
        </w:numPr>
        <w:contextualSpacing w:val="0"/>
      </w:pPr>
      <w:r w:rsidRPr="003124E1">
        <w:t>One or more organs show diffuse or localized swelling or a mass or nodule characteristic of IgG4-RD. In single organ involvement, lymph node swelling is omitted.</w:t>
      </w:r>
    </w:p>
    <w:p w14:paraId="032735CE" w14:textId="77777777" w:rsidR="00EE4DA1" w:rsidRPr="00EE4DA1" w:rsidRDefault="00EE4DA1" w:rsidP="00EE4DA1">
      <w:pPr>
        <w:pStyle w:val="ListParagraph"/>
        <w:numPr>
          <w:ilvl w:val="1"/>
          <w:numId w:val="32"/>
        </w:numPr>
        <w:contextualSpacing w:val="0"/>
      </w:pPr>
      <w:r>
        <w:t xml:space="preserve">Note: </w:t>
      </w:r>
      <w:r w:rsidRPr="00EE4DA1">
        <w:t>Nearly any organ can be affected, but characteristic organs involved include:</w:t>
      </w:r>
    </w:p>
    <w:p w14:paraId="1247DBEE" w14:textId="66F0DFE1" w:rsidR="00EE4DA1" w:rsidRPr="00EE4DA1" w:rsidRDefault="00EE4DA1" w:rsidP="00EE4DA1">
      <w:pPr>
        <w:pStyle w:val="ListParagraph"/>
        <w:numPr>
          <w:ilvl w:val="2"/>
          <w:numId w:val="32"/>
        </w:numPr>
        <w:contextualSpacing w:val="0"/>
      </w:pPr>
      <w:r w:rsidRPr="00EE4DA1">
        <w:t>Pancreas</w:t>
      </w:r>
    </w:p>
    <w:p w14:paraId="69CD06DD" w14:textId="77777777" w:rsidR="00EE4DA1" w:rsidRPr="00EE4DA1" w:rsidRDefault="00EE4DA1" w:rsidP="00EE4DA1">
      <w:pPr>
        <w:pStyle w:val="ListParagraph"/>
        <w:numPr>
          <w:ilvl w:val="2"/>
          <w:numId w:val="32"/>
        </w:numPr>
        <w:contextualSpacing w:val="0"/>
      </w:pPr>
      <w:r w:rsidRPr="00EE4DA1">
        <w:t>Salivary gland</w:t>
      </w:r>
    </w:p>
    <w:p w14:paraId="798D2F1D" w14:textId="77777777" w:rsidR="00EE4DA1" w:rsidRPr="00EE4DA1" w:rsidRDefault="00EE4DA1" w:rsidP="00EE4DA1">
      <w:pPr>
        <w:pStyle w:val="ListParagraph"/>
        <w:numPr>
          <w:ilvl w:val="2"/>
          <w:numId w:val="32"/>
        </w:numPr>
        <w:contextualSpacing w:val="0"/>
      </w:pPr>
      <w:r w:rsidRPr="00EE4DA1">
        <w:t>Bile ducts</w:t>
      </w:r>
    </w:p>
    <w:p w14:paraId="38555BC7" w14:textId="77777777" w:rsidR="00EE4DA1" w:rsidRPr="00EE4DA1" w:rsidRDefault="00EE4DA1" w:rsidP="00EE4DA1">
      <w:pPr>
        <w:pStyle w:val="ListParagraph"/>
        <w:numPr>
          <w:ilvl w:val="2"/>
          <w:numId w:val="32"/>
        </w:numPr>
        <w:contextualSpacing w:val="0"/>
      </w:pPr>
      <w:r w:rsidRPr="00EE4DA1">
        <w:t>Orbits</w:t>
      </w:r>
    </w:p>
    <w:p w14:paraId="3DAEBF07" w14:textId="77777777" w:rsidR="00EE4DA1" w:rsidRPr="00EE4DA1" w:rsidRDefault="00EE4DA1" w:rsidP="00EE4DA1">
      <w:pPr>
        <w:pStyle w:val="ListParagraph"/>
        <w:numPr>
          <w:ilvl w:val="2"/>
          <w:numId w:val="32"/>
        </w:numPr>
        <w:contextualSpacing w:val="0"/>
      </w:pPr>
      <w:r w:rsidRPr="00EE4DA1">
        <w:t>Kidney</w:t>
      </w:r>
    </w:p>
    <w:p w14:paraId="73E3524C" w14:textId="77777777" w:rsidR="00EE4DA1" w:rsidRPr="00EE4DA1" w:rsidRDefault="00EE4DA1" w:rsidP="00EE4DA1">
      <w:pPr>
        <w:pStyle w:val="ListParagraph"/>
        <w:numPr>
          <w:ilvl w:val="2"/>
          <w:numId w:val="32"/>
        </w:numPr>
        <w:contextualSpacing w:val="0"/>
      </w:pPr>
      <w:r w:rsidRPr="00EE4DA1">
        <w:t>Lung</w:t>
      </w:r>
    </w:p>
    <w:p w14:paraId="72D916E1" w14:textId="77777777" w:rsidR="00EE4DA1" w:rsidRPr="00EE4DA1" w:rsidRDefault="00EE4DA1" w:rsidP="00EE4DA1">
      <w:pPr>
        <w:pStyle w:val="ListParagraph"/>
        <w:numPr>
          <w:ilvl w:val="2"/>
          <w:numId w:val="32"/>
        </w:numPr>
        <w:contextualSpacing w:val="0"/>
      </w:pPr>
      <w:r w:rsidRPr="00EE4DA1">
        <w:t>Aorta</w:t>
      </w:r>
    </w:p>
    <w:p w14:paraId="0D4FBDE3" w14:textId="77777777" w:rsidR="00EE4DA1" w:rsidRPr="00EE4DA1" w:rsidRDefault="00EE4DA1" w:rsidP="00EE4DA1">
      <w:pPr>
        <w:pStyle w:val="ListParagraph"/>
        <w:numPr>
          <w:ilvl w:val="2"/>
          <w:numId w:val="32"/>
        </w:numPr>
        <w:contextualSpacing w:val="0"/>
      </w:pPr>
      <w:r w:rsidRPr="00EE4DA1">
        <w:t>Retroperitoneum</w:t>
      </w:r>
    </w:p>
    <w:p w14:paraId="47346297" w14:textId="77777777" w:rsidR="00EE4DA1" w:rsidRPr="00EE4DA1" w:rsidRDefault="00EE4DA1" w:rsidP="00EE4DA1">
      <w:pPr>
        <w:pStyle w:val="ListParagraph"/>
        <w:numPr>
          <w:ilvl w:val="2"/>
          <w:numId w:val="32"/>
        </w:numPr>
        <w:contextualSpacing w:val="0"/>
      </w:pPr>
      <w:proofErr w:type="spellStart"/>
      <w:r w:rsidRPr="00EE4DA1">
        <w:t>Pachymeninges</w:t>
      </w:r>
      <w:proofErr w:type="spellEnd"/>
    </w:p>
    <w:p w14:paraId="33AB71FA" w14:textId="138AEBAB" w:rsidR="00EE4DA1" w:rsidRDefault="00EE4DA1" w:rsidP="00EE4DA1">
      <w:pPr>
        <w:pStyle w:val="ListParagraph"/>
        <w:numPr>
          <w:ilvl w:val="2"/>
          <w:numId w:val="32"/>
        </w:numPr>
        <w:contextualSpacing w:val="0"/>
      </w:pPr>
      <w:r w:rsidRPr="00EE4DA1">
        <w:t>Thyroid gland</w:t>
      </w:r>
      <w:r w:rsidR="00A532A5">
        <w:t xml:space="preserve"> (</w:t>
      </w:r>
      <w:r w:rsidR="00A532A5" w:rsidRPr="00A532A5">
        <w:t>Riedel’s thyroiditis</w:t>
      </w:r>
      <w:r w:rsidR="00A532A5">
        <w:t>)</w:t>
      </w:r>
    </w:p>
    <w:p w14:paraId="5430988F" w14:textId="1708CB4B" w:rsidR="003124E1" w:rsidRDefault="003124E1" w:rsidP="003124E1">
      <w:pPr>
        <w:pStyle w:val="ListParagraph"/>
        <w:numPr>
          <w:ilvl w:val="0"/>
          <w:numId w:val="32"/>
        </w:numPr>
        <w:contextualSpacing w:val="0"/>
      </w:pPr>
      <w:r>
        <w:t>Pathological diagnosis (positivity for two of the following three criteria):</w:t>
      </w:r>
    </w:p>
    <w:p w14:paraId="17F7F9AE" w14:textId="02AE75D5" w:rsidR="003124E1" w:rsidRDefault="003124E1" w:rsidP="003124E1">
      <w:pPr>
        <w:pStyle w:val="ListParagraph"/>
        <w:numPr>
          <w:ilvl w:val="1"/>
          <w:numId w:val="32"/>
        </w:numPr>
        <w:contextualSpacing w:val="0"/>
      </w:pPr>
      <w:r w:rsidRPr="003124E1">
        <w:t>Dense lymphocyte and plasma cell infiltration with fibrosis.</w:t>
      </w:r>
    </w:p>
    <w:p w14:paraId="3937EEAE" w14:textId="131AFFAA" w:rsidR="003124E1" w:rsidRDefault="003124E1" w:rsidP="003124E1">
      <w:pPr>
        <w:pStyle w:val="ListParagraph"/>
        <w:numPr>
          <w:ilvl w:val="1"/>
          <w:numId w:val="32"/>
        </w:numPr>
        <w:contextualSpacing w:val="0"/>
      </w:pPr>
      <w:r w:rsidRPr="003124E1">
        <w:t>Ratio of IgG4-positive plasma cells /IgG-positive cells greater than 40% and the number of IgG4-positive plasma cells greater than 10 per high powered field</w:t>
      </w:r>
      <w:r>
        <w:t>.</w:t>
      </w:r>
    </w:p>
    <w:p w14:paraId="2C844BBC" w14:textId="70E42878" w:rsidR="00757850" w:rsidRDefault="003124E1" w:rsidP="00757850">
      <w:pPr>
        <w:pStyle w:val="ListParagraph"/>
        <w:numPr>
          <w:ilvl w:val="1"/>
          <w:numId w:val="32"/>
        </w:numPr>
        <w:contextualSpacing w:val="0"/>
      </w:pPr>
      <w:r w:rsidRPr="003124E1">
        <w:t>Typical tissue fibrosis, particularly storiform fibrosis, or obliterative phlebitis</w:t>
      </w:r>
      <w:r>
        <w:t>.</w:t>
      </w:r>
    </w:p>
    <w:p w14:paraId="5F64A914" w14:textId="57698935" w:rsidR="00757850" w:rsidRDefault="00757850" w:rsidP="00757850">
      <w:pPr>
        <w:pStyle w:val="BodyText"/>
        <w:rPr>
          <w:sz w:val="32"/>
          <w:szCs w:val="32"/>
          <w:vertAlign w:val="superscript"/>
        </w:rPr>
      </w:pPr>
      <w:r w:rsidRPr="002971BC">
        <w:rPr>
          <w:rStyle w:val="Heading3Char"/>
        </w:rPr>
        <w:t xml:space="preserve">Appendix B: </w:t>
      </w:r>
      <w:r w:rsidR="00A532A5" w:rsidRPr="002971BC">
        <w:rPr>
          <w:rStyle w:val="Heading3Char"/>
        </w:rPr>
        <w:t>Common Mimickers of IgG4-RD</w:t>
      </w:r>
      <w:r w:rsidR="008B2670">
        <w:rPr>
          <w:sz w:val="32"/>
          <w:szCs w:val="32"/>
          <w:vertAlign w:val="superscript"/>
        </w:rPr>
        <w:t>4,5</w:t>
      </w:r>
    </w:p>
    <w:p w14:paraId="14D4DD6F" w14:textId="77777777" w:rsidR="008B2670" w:rsidRPr="008B2670" w:rsidRDefault="008B2670" w:rsidP="002971BC">
      <w:pPr>
        <w:pStyle w:val="ListParagraph"/>
      </w:pPr>
      <w:r w:rsidRPr="008B2670">
        <w:t>Malignancy</w:t>
      </w:r>
    </w:p>
    <w:p w14:paraId="453FA731" w14:textId="77777777" w:rsidR="008B2670" w:rsidRPr="008B2670" w:rsidRDefault="008B2670" w:rsidP="002971BC">
      <w:pPr>
        <w:pStyle w:val="ListParagraph"/>
      </w:pPr>
      <w:r w:rsidRPr="008B2670">
        <w:t>Vasculitis</w:t>
      </w:r>
    </w:p>
    <w:p w14:paraId="35FDE1A9" w14:textId="77777777" w:rsidR="008B2670" w:rsidRPr="008B2670" w:rsidRDefault="008B2670" w:rsidP="002971BC">
      <w:pPr>
        <w:pStyle w:val="ListParagraph"/>
      </w:pPr>
      <w:r w:rsidRPr="008B2670">
        <w:t>Sjogren’s syndrome</w:t>
      </w:r>
    </w:p>
    <w:p w14:paraId="67C6E895" w14:textId="77777777" w:rsidR="008B2670" w:rsidRPr="008B2670" w:rsidRDefault="008B2670" w:rsidP="002971BC">
      <w:pPr>
        <w:pStyle w:val="ListParagraph"/>
      </w:pPr>
      <w:r w:rsidRPr="008B2670">
        <w:t>Primary granulomatous inflammation (including sarcoidosis)</w:t>
      </w:r>
    </w:p>
    <w:p w14:paraId="54D59450" w14:textId="77777777" w:rsidR="008B2670" w:rsidRPr="008B2670" w:rsidRDefault="008B2670" w:rsidP="002971BC">
      <w:pPr>
        <w:pStyle w:val="ListParagraph"/>
      </w:pPr>
      <w:r w:rsidRPr="008B2670">
        <w:t>Infection</w:t>
      </w:r>
    </w:p>
    <w:p w14:paraId="20A7A864" w14:textId="77777777" w:rsidR="008B2670" w:rsidRPr="008B2670" w:rsidRDefault="008B2670" w:rsidP="002971BC">
      <w:pPr>
        <w:pStyle w:val="ListParagraph"/>
      </w:pPr>
      <w:r w:rsidRPr="008B2670">
        <w:t>Multicentric Castleman’s disease</w:t>
      </w:r>
    </w:p>
    <w:p w14:paraId="5AF3CA4F" w14:textId="77777777" w:rsidR="008B2670" w:rsidRPr="008B2670" w:rsidRDefault="008B2670" w:rsidP="002971BC">
      <w:pPr>
        <w:pStyle w:val="ListParagraph"/>
      </w:pPr>
      <w:r w:rsidRPr="008B2670">
        <w:t>Erdheim-Chester disease</w:t>
      </w:r>
    </w:p>
    <w:p w14:paraId="55A52B90" w14:textId="77777777" w:rsidR="008B2670" w:rsidRPr="008B2670" w:rsidRDefault="008B2670" w:rsidP="002971BC">
      <w:pPr>
        <w:pStyle w:val="ListParagraph"/>
      </w:pPr>
      <w:r w:rsidRPr="008B2670">
        <w:t>Crohn's disease or ulcerative colitis (if only pancreatobiliary disease is present)</w:t>
      </w:r>
    </w:p>
    <w:p w14:paraId="4BADA375" w14:textId="5DA3CD6A" w:rsidR="00757850" w:rsidRPr="008B2670" w:rsidRDefault="008B2670" w:rsidP="002971BC">
      <w:pPr>
        <w:pStyle w:val="ListParagraph"/>
      </w:pPr>
      <w:r w:rsidRPr="008B2670">
        <w:t>Hashimoto thyroiditis (if only the thyroid is affected)</w:t>
      </w:r>
    </w:p>
    <w:p w14:paraId="10DA4309" w14:textId="150E1063" w:rsidR="00FF66BF" w:rsidRPr="00035ABC" w:rsidRDefault="00FF66BF" w:rsidP="00FF66BF">
      <w:pPr>
        <w:pStyle w:val="Heading2"/>
      </w:pPr>
      <w:r w:rsidRPr="00035ABC">
        <w:t>References</w:t>
      </w:r>
    </w:p>
    <w:p w14:paraId="52B17292" w14:textId="1F6B3B49" w:rsidR="00497349" w:rsidRPr="00035ABC" w:rsidRDefault="00497349" w:rsidP="00497349">
      <w:pPr>
        <w:pStyle w:val="ReferenceOrdered"/>
      </w:pPr>
      <w:r w:rsidRPr="00035ABC">
        <w:t xml:space="preserve">Uplizna [package insert]. Deerfield, IL: Horizon Therapeutics USA, Inc.; </w:t>
      </w:r>
      <w:r w:rsidR="000D35FA">
        <w:t>April</w:t>
      </w:r>
      <w:r w:rsidRPr="00035ABC">
        <w:t xml:space="preserve"> 202</w:t>
      </w:r>
      <w:r w:rsidR="000D35FA">
        <w:t>5</w:t>
      </w:r>
      <w:r w:rsidRPr="00035ABC">
        <w:t>.</w:t>
      </w:r>
    </w:p>
    <w:p w14:paraId="10C5468C" w14:textId="77777777" w:rsidR="00497349" w:rsidRDefault="00497349" w:rsidP="00497349">
      <w:pPr>
        <w:pStyle w:val="ReferenceOrdered"/>
      </w:pPr>
      <w:r w:rsidRPr="00035ABC">
        <w:t>Wingerchuk DM, Banwell B, Bennett JL, et al. International consensus diagnostic criteria for neuromyelitis optica spectrum disorders. Neurology. 2015; 85:177-189.</w:t>
      </w:r>
    </w:p>
    <w:p w14:paraId="02625B87" w14:textId="5837E64F" w:rsidR="001037D5" w:rsidRDefault="001037D5" w:rsidP="00497349">
      <w:pPr>
        <w:pStyle w:val="ReferenceOrdered"/>
      </w:pPr>
      <w:r w:rsidRPr="001037D5">
        <w:t xml:space="preserve">Stone JH, Khosroshahi A, Zhang W, </w:t>
      </w:r>
      <w:r>
        <w:t xml:space="preserve">et al. </w:t>
      </w:r>
      <w:r w:rsidRPr="001037D5">
        <w:t>Inebilizumab for Treatment of IgG4-Related Disease. N Engl J Med. 2025 Mar 27;392(12):1168-1177.</w:t>
      </w:r>
    </w:p>
    <w:p w14:paraId="0F6C3249" w14:textId="3A9DFA80" w:rsidR="009D6F29" w:rsidRDefault="009D6F29" w:rsidP="00497349">
      <w:pPr>
        <w:pStyle w:val="ReferenceOrdered"/>
      </w:pPr>
      <w:bookmarkStart w:id="8" w:name="_Hlk195275082"/>
      <w:r w:rsidRPr="009D6F29">
        <w:t xml:space="preserve">Wallace, Z.S., Naden, R.P., Chari, S., Choi, H., </w:t>
      </w:r>
      <w:r>
        <w:t>et al.</w:t>
      </w:r>
      <w:r w:rsidRPr="009D6F29">
        <w:t xml:space="preserve"> The 2019 American College of Rheumatology/European League Against Rheumatism Classification Criteria for IgG4-Related Disease. Arthritis Rheumatol, 72: 7-19.</w:t>
      </w:r>
    </w:p>
    <w:p w14:paraId="18E8FE3A" w14:textId="628D4375" w:rsidR="001037D5" w:rsidRPr="00035ABC" w:rsidRDefault="001037D5" w:rsidP="00497349">
      <w:pPr>
        <w:pStyle w:val="ReferenceOrdered"/>
      </w:pPr>
      <w:r w:rsidRPr="001037D5">
        <w:t>Umehara H, Okazaki K, Kawa S, et al</w:t>
      </w:r>
      <w:r>
        <w:t>.</w:t>
      </w:r>
      <w:r w:rsidRPr="001037D5">
        <w:t xml:space="preserve"> </w:t>
      </w:r>
      <w:r w:rsidRPr="00A135B1">
        <w:t>The 2020 revised comprehensive diagnostic (RCD) criteria for IgG4-RD</w:t>
      </w:r>
      <w:r w:rsidRPr="001037D5">
        <w:t>. </w:t>
      </w:r>
      <w:r w:rsidRPr="001037D5">
        <w:rPr>
          <w:i/>
          <w:iCs/>
        </w:rPr>
        <w:t>Mod Rheumatol</w:t>
      </w:r>
      <w:r w:rsidRPr="001037D5">
        <w:t>. 2021;31(3):529-533.</w:t>
      </w:r>
    </w:p>
    <w:bookmarkEnd w:id="8"/>
    <w:sectPr w:rsidR="001037D5" w:rsidRPr="00035ABC" w:rsidSect="00F80290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8F480" w14:textId="77777777" w:rsidR="000F5014" w:rsidRDefault="000F5014">
      <w:r>
        <w:separator/>
      </w:r>
    </w:p>
  </w:endnote>
  <w:endnote w:type="continuationSeparator" w:id="0">
    <w:p w14:paraId="43260EBE" w14:textId="77777777" w:rsidR="000F5014" w:rsidRDefault="000F5014">
      <w:r>
        <w:continuationSeparator/>
      </w:r>
    </w:p>
  </w:endnote>
  <w:endnote w:type="continuationNotice" w:id="1">
    <w:p w14:paraId="5DFE3EAE" w14:textId="77777777" w:rsidR="000F5014" w:rsidRDefault="000F50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8F89134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70DE9" w:rsidRPr="00870DE9">
      <w:rPr>
        <w:rFonts w:cs="Arial"/>
        <w:noProof/>
        <w:sz w:val="16"/>
        <w:szCs w:val="16"/>
      </w:rPr>
      <w:t>Uplizna</w:t>
    </w:r>
    <w:r w:rsidR="00870DE9">
      <w:rPr>
        <w:rFonts w:cs="Arial"/>
        <w:noProof/>
        <w:snapToGrid w:val="0"/>
        <w:color w:val="000000"/>
        <w:sz w:val="16"/>
        <w:szCs w:val="16"/>
      </w:rPr>
      <w:t xml:space="preserve"> SGM 3968-A</w:t>
    </w:r>
    <w:r w:rsidR="00870DE9" w:rsidRPr="00870DE9">
      <w:rPr>
        <w:rFonts w:cs="Arial"/>
        <w:noProof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0D71F7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24EF550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BDB1A86" w:rsidR="00F75C81" w:rsidRPr="00AA1E6A" w:rsidRDefault="00C36B72" w:rsidP="00F8029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9B2E542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70DE9" w:rsidRPr="00870DE9">
      <w:rPr>
        <w:rFonts w:cs="Arial"/>
        <w:noProof/>
        <w:sz w:val="16"/>
        <w:szCs w:val="16"/>
      </w:rPr>
      <w:t>Uplizna</w:t>
    </w:r>
    <w:r w:rsidR="00870DE9">
      <w:rPr>
        <w:rFonts w:cs="Arial"/>
        <w:noProof/>
        <w:snapToGrid w:val="0"/>
        <w:color w:val="000000"/>
        <w:sz w:val="16"/>
        <w:szCs w:val="16"/>
      </w:rPr>
      <w:t xml:space="preserve"> SGM 3968-A</w:t>
    </w:r>
    <w:r w:rsidR="00870DE9" w:rsidRPr="00870DE9">
      <w:rPr>
        <w:rFonts w:cs="Arial"/>
        <w:noProof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0D71F7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53FCFE05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722903F" w:rsidR="00ED04EC" w:rsidRPr="00F50D98" w:rsidRDefault="00F50D98" w:rsidP="00F8029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D3C73" w14:textId="77777777" w:rsidR="000F5014" w:rsidRDefault="000F5014">
      <w:r>
        <w:separator/>
      </w:r>
    </w:p>
  </w:footnote>
  <w:footnote w:type="continuationSeparator" w:id="0">
    <w:p w14:paraId="233FB98B" w14:textId="77777777" w:rsidR="000F5014" w:rsidRDefault="000F5014">
      <w:r>
        <w:continuationSeparator/>
      </w:r>
    </w:p>
  </w:footnote>
  <w:footnote w:type="continuationNotice" w:id="1">
    <w:p w14:paraId="31CD99B2" w14:textId="77777777" w:rsidR="000F5014" w:rsidRDefault="000F50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5A0DC9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6DD5C6E8" w:rsidR="00ED04EC" w:rsidRPr="004C7F1D" w:rsidRDefault="00497349" w:rsidP="005A0DC9">
          <w:pPr>
            <w:pStyle w:val="RefTableData"/>
          </w:pPr>
          <w:r>
            <w:t>3968-A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5A0DC9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6964DF46" w:rsidR="000F5383" w:rsidRPr="00FF66BF" w:rsidRDefault="00497349" w:rsidP="005A0DC9">
          <w:pPr>
            <w:pStyle w:val="RefTableData"/>
          </w:pPr>
          <w:r>
            <w:t>3968-A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A0211D"/>
    <w:multiLevelType w:val="hybridMultilevel"/>
    <w:tmpl w:val="0E985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203EE7"/>
    <w:multiLevelType w:val="hybridMultilevel"/>
    <w:tmpl w:val="6366CDBC"/>
    <w:lvl w:ilvl="0" w:tplc="41E082A4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9D515E"/>
    <w:multiLevelType w:val="hybridMultilevel"/>
    <w:tmpl w:val="2FB0E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42052E"/>
    <w:multiLevelType w:val="hybridMultilevel"/>
    <w:tmpl w:val="E3FAA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C62F99"/>
    <w:multiLevelType w:val="hybridMultilevel"/>
    <w:tmpl w:val="4746BCB2"/>
    <w:lvl w:ilvl="0" w:tplc="897CBC2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A5E84684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2B4C74"/>
    <w:multiLevelType w:val="hybridMultilevel"/>
    <w:tmpl w:val="62107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8273B0"/>
    <w:multiLevelType w:val="hybridMultilevel"/>
    <w:tmpl w:val="AC469D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064BE9"/>
    <w:multiLevelType w:val="hybridMultilevel"/>
    <w:tmpl w:val="DC449740"/>
    <w:lvl w:ilvl="0" w:tplc="2CD2C3E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9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33"/>
  </w:num>
  <w:num w:numId="18" w16cid:durableId="299724409">
    <w:abstractNumId w:val="26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34"/>
  </w:num>
  <w:num w:numId="22" w16cid:durableId="1472481103">
    <w:abstractNumId w:val="28"/>
  </w:num>
  <w:num w:numId="23" w16cid:durableId="1997420403">
    <w:abstractNumId w:val="30"/>
  </w:num>
  <w:num w:numId="24" w16cid:durableId="33312838">
    <w:abstractNumId w:val="27"/>
  </w:num>
  <w:num w:numId="25" w16cid:durableId="507404939">
    <w:abstractNumId w:val="18"/>
  </w:num>
  <w:num w:numId="26" w16cid:durableId="1950313333">
    <w:abstractNumId w:val="23"/>
  </w:num>
  <w:num w:numId="27" w16cid:durableId="1866016584">
    <w:abstractNumId w:val="20"/>
  </w:num>
  <w:num w:numId="28" w16cid:durableId="1936132757">
    <w:abstractNumId w:val="17"/>
  </w:num>
  <w:num w:numId="29" w16cid:durableId="1673412822">
    <w:abstractNumId w:val="16"/>
  </w:num>
  <w:num w:numId="30" w16cid:durableId="1784037888">
    <w:abstractNumId w:val="21"/>
  </w:num>
  <w:num w:numId="31" w16cid:durableId="1176576750">
    <w:abstractNumId w:val="22"/>
  </w:num>
  <w:num w:numId="32" w16cid:durableId="1826049374">
    <w:abstractNumId w:val="31"/>
  </w:num>
  <w:num w:numId="33" w16cid:durableId="17661351">
    <w:abstractNumId w:val="24"/>
  </w:num>
  <w:num w:numId="34" w16cid:durableId="2126270245">
    <w:abstractNumId w:val="32"/>
  </w:num>
  <w:num w:numId="35" w16cid:durableId="2093119076">
    <w:abstractNumId w:val="15"/>
  </w:num>
  <w:num w:numId="36" w16cid:durableId="956067216">
    <w:abstractNumId w:val="31"/>
  </w:num>
  <w:num w:numId="37" w16cid:durableId="955793982">
    <w:abstractNumId w:val="21"/>
  </w:num>
  <w:num w:numId="38" w16cid:durableId="636226801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5ABC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A49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2A73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5FA"/>
    <w:rsid w:val="000D39D5"/>
    <w:rsid w:val="000D44C7"/>
    <w:rsid w:val="000D454D"/>
    <w:rsid w:val="000D4EA4"/>
    <w:rsid w:val="000D5101"/>
    <w:rsid w:val="000D5978"/>
    <w:rsid w:val="000D5D4B"/>
    <w:rsid w:val="000D71F7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014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7D5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5978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5575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4B60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1BC"/>
    <w:rsid w:val="00297405"/>
    <w:rsid w:val="002A02BE"/>
    <w:rsid w:val="002A0A3B"/>
    <w:rsid w:val="002A0DB7"/>
    <w:rsid w:val="002A0E6F"/>
    <w:rsid w:val="002A0F12"/>
    <w:rsid w:val="002A1602"/>
    <w:rsid w:val="002A1A1C"/>
    <w:rsid w:val="002A1A53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224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4E1"/>
    <w:rsid w:val="003127DD"/>
    <w:rsid w:val="00312E1C"/>
    <w:rsid w:val="00313EB3"/>
    <w:rsid w:val="00313FC5"/>
    <w:rsid w:val="00315003"/>
    <w:rsid w:val="00315D6F"/>
    <w:rsid w:val="00315F39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46DC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26E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068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09B"/>
    <w:rsid w:val="004421AD"/>
    <w:rsid w:val="00442B17"/>
    <w:rsid w:val="0044300A"/>
    <w:rsid w:val="004438A7"/>
    <w:rsid w:val="00444336"/>
    <w:rsid w:val="00444A6A"/>
    <w:rsid w:val="0044563B"/>
    <w:rsid w:val="004456BA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3B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349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50C"/>
    <w:rsid w:val="004A476E"/>
    <w:rsid w:val="004A4DA6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2FB2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56F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134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DC9"/>
    <w:rsid w:val="005A0E43"/>
    <w:rsid w:val="005A2994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875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34C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E17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81F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1B8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4BB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02AE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57475"/>
    <w:rsid w:val="00757850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6B38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2F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1BA1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4894"/>
    <w:rsid w:val="007D5505"/>
    <w:rsid w:val="007D5B16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AE3"/>
    <w:rsid w:val="00830CE5"/>
    <w:rsid w:val="008313C2"/>
    <w:rsid w:val="00832520"/>
    <w:rsid w:val="00832E80"/>
    <w:rsid w:val="00832EB5"/>
    <w:rsid w:val="00832F22"/>
    <w:rsid w:val="00833AEB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5D40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954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0DE9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384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670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58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0F50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5B4"/>
    <w:rsid w:val="00977BCF"/>
    <w:rsid w:val="00977F49"/>
    <w:rsid w:val="009817FD"/>
    <w:rsid w:val="00981EDA"/>
    <w:rsid w:val="00982365"/>
    <w:rsid w:val="009843EC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227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1EBA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6F29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5E04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5B1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32A5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02A"/>
    <w:rsid w:val="00AC0183"/>
    <w:rsid w:val="00AC0308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AED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0017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58FC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FAC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56914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67D65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3EB4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12A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301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1DD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0BD"/>
    <w:rsid w:val="00DA29A1"/>
    <w:rsid w:val="00DA2BE1"/>
    <w:rsid w:val="00DA368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1F9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2765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539"/>
    <w:rsid w:val="00E446A5"/>
    <w:rsid w:val="00E449A7"/>
    <w:rsid w:val="00E45C1A"/>
    <w:rsid w:val="00E4640D"/>
    <w:rsid w:val="00E46738"/>
    <w:rsid w:val="00E46A0A"/>
    <w:rsid w:val="00E474A6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A2F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22D"/>
    <w:rsid w:val="00E744D4"/>
    <w:rsid w:val="00E74F5E"/>
    <w:rsid w:val="00E75553"/>
    <w:rsid w:val="00E7561A"/>
    <w:rsid w:val="00E75C87"/>
    <w:rsid w:val="00E775EF"/>
    <w:rsid w:val="00E775FA"/>
    <w:rsid w:val="00E77867"/>
    <w:rsid w:val="00E77F00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97D92"/>
    <w:rsid w:val="00EA0296"/>
    <w:rsid w:val="00EA072E"/>
    <w:rsid w:val="00EA17D3"/>
    <w:rsid w:val="00EA1E1D"/>
    <w:rsid w:val="00EA2240"/>
    <w:rsid w:val="00EA24A9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1454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6B94"/>
    <w:rsid w:val="00ED748E"/>
    <w:rsid w:val="00ED7D4A"/>
    <w:rsid w:val="00EE02E3"/>
    <w:rsid w:val="00EE07BA"/>
    <w:rsid w:val="00EE0D34"/>
    <w:rsid w:val="00EE1515"/>
    <w:rsid w:val="00EE1F4A"/>
    <w:rsid w:val="00EE27CF"/>
    <w:rsid w:val="00EE2BF1"/>
    <w:rsid w:val="00EE34FA"/>
    <w:rsid w:val="00EE4DA1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13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24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59B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290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0FF7829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ED56B6-89BA-480B-AECD-878EF2AA0F39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7757c461-07c7-44e1-99a5-77c6cc8be592"/>
    <ds:schemaRef ds:uri="http://schemas.microsoft.com/sharepoint/v4"/>
    <ds:schemaRef ds:uri="http://schemas.microsoft.com/office/2006/documentManagement/types"/>
    <ds:schemaRef ds:uri="http://schemas.openxmlformats.org/package/2006/metadata/core-properties"/>
    <ds:schemaRef ds:uri="eb403b6b-7b96-4fe7-afcc-b3d44ddfb7d8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884</Words>
  <Characters>5459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>Uplizna 3968-A SGM 2024</vt:lpstr>
      <vt:lpstr>Specialty Guideline Management Uplizna</vt:lpstr>
      <vt:lpstr>    Products Referenced by this Document</vt:lpstr>
      <vt:lpstr>    Indications</vt:lpstr>
      <vt:lpstr>        FDA-approved Indications1</vt:lpstr>
      <vt:lpstr>    Documentation</vt:lpstr>
      <vt:lpstr>    Coverage Criteria</vt:lpstr>
      <vt:lpstr>        Neuromyelitis Optica Spectrum Disorder (NMOSD)1,2</vt:lpstr>
      <vt:lpstr>        Immunoglobulin G4-related Disease (IgG4-RD)1,3-5</vt:lpstr>
      <vt:lpstr>    Continuation of Therapy</vt:lpstr>
      <vt:lpstr>        Neuromyelitis Optica Spectrum Disorder (NMOSD)</vt:lpstr>
      <vt:lpstr>        Immunoglobulin G4-related Disease (IgG4-RD)</vt:lpstr>
      <vt:lpstr>    Appendices</vt:lpstr>
      <vt:lpstr>    References</vt:lpstr>
      <vt:lpstr>    Document History</vt:lpstr>
    </vt:vector>
  </TitlesOfParts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Uplizna SGM 3968-A</dc:title>
  <dc:subject>Uplizna SGM 3968-A</dc:subject>
  <dc:creator>CVS Caremark</dc:creator>
  <cp:keywords/>
  <cp:lastModifiedBy>Ortiz, Erica M</cp:lastModifiedBy>
  <cp:revision>3</cp:revision>
  <cp:lastPrinted>2018-01-09T05:01:00Z</cp:lastPrinted>
  <dcterms:created xsi:type="dcterms:W3CDTF">2025-06-06T00:42:00Z</dcterms:created>
  <dcterms:modified xsi:type="dcterms:W3CDTF">2025-06-06T00:43:00Z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852300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